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44D9" w14:textId="0F163ABB" w:rsidR="005C5A02" w:rsidRPr="00232531" w:rsidRDefault="00F56E6C" w:rsidP="005C5A02">
      <w:pPr>
        <w:pStyle w:val="Covertitle"/>
        <w:framePr w:hSpace="0" w:wrap="auto" w:vAnchor="margin" w:hAnchor="text" w:xAlign="left" w:yAlign="inline"/>
        <w:suppressOverlap w:val="0"/>
        <w:rPr>
          <w:color w:val="161B4E" w:themeColor="text2"/>
          <w:sz w:val="64"/>
          <w:szCs w:val="64"/>
        </w:rPr>
      </w:pPr>
      <w:r w:rsidRPr="00232531">
        <w:rPr>
          <w:color w:val="161B4E" w:themeColor="text2"/>
          <w:sz w:val="64"/>
          <w:szCs w:val="64"/>
        </w:rPr>
        <w:t>Recruitment top tips for commissioners</w:t>
      </w:r>
    </w:p>
    <w:tbl>
      <w:tblPr>
        <w:tblStyle w:val="TableGrid"/>
        <w:tblW w:w="0" w:type="auto"/>
        <w:tblLook w:val="04A0" w:firstRow="1" w:lastRow="0" w:firstColumn="1" w:lastColumn="0" w:noHBand="0" w:noVBand="1"/>
      </w:tblPr>
      <w:tblGrid>
        <w:gridCol w:w="3244"/>
        <w:gridCol w:w="10182"/>
      </w:tblGrid>
      <w:tr w:rsidR="00D41BFA" w:rsidRPr="00232531" w14:paraId="135656E6" w14:textId="77777777" w:rsidTr="006B736A">
        <w:tc>
          <w:tcPr>
            <w:tcW w:w="0" w:type="auto"/>
            <w:gridSpan w:val="2"/>
            <w:shd w:val="clear" w:color="auto" w:fill="161B4E" w:themeFill="text2"/>
            <w:vAlign w:val="center"/>
          </w:tcPr>
          <w:p w14:paraId="430AE094" w14:textId="0C923E62" w:rsidR="00D41BFA" w:rsidRPr="007602D0" w:rsidRDefault="00D41BFA" w:rsidP="007602D0">
            <w:pPr>
              <w:pStyle w:val="Heading2"/>
              <w:numPr>
                <w:ilvl w:val="0"/>
                <w:numId w:val="0"/>
              </w:numPr>
              <w:spacing w:line="276" w:lineRule="auto"/>
              <w:ind w:left="737" w:hanging="737"/>
              <w:rPr>
                <w:noProof/>
                <w:color w:val="FFFFFF" w:themeColor="background1"/>
                <w:sz w:val="32"/>
                <w:szCs w:val="22"/>
              </w:rPr>
            </w:pPr>
            <w:r w:rsidRPr="007602D0">
              <w:rPr>
                <w:noProof/>
                <w:color w:val="FFFFFF" w:themeColor="background1"/>
                <w:sz w:val="32"/>
                <w:szCs w:val="22"/>
              </w:rPr>
              <w:t>Before you recruit…</w:t>
            </w:r>
          </w:p>
        </w:tc>
      </w:tr>
      <w:tr w:rsidR="00232531" w:rsidRPr="00232531" w14:paraId="01157C91" w14:textId="77777777" w:rsidTr="006B736A">
        <w:tc>
          <w:tcPr>
            <w:tcW w:w="0" w:type="auto"/>
            <w:vAlign w:val="center"/>
          </w:tcPr>
          <w:p w14:paraId="725073D1" w14:textId="0C2B3D76" w:rsidR="00232531" w:rsidRPr="006B736A" w:rsidRDefault="007602D0" w:rsidP="007602D0">
            <w:pPr>
              <w:spacing w:line="276" w:lineRule="auto"/>
              <w:rPr>
                <w:b/>
                <w:bCs/>
                <w:noProof/>
                <w:color w:val="007BC4" w:themeColor="accent1"/>
                <w:sz w:val="22"/>
              </w:rPr>
            </w:pPr>
            <w:r w:rsidRPr="006B736A">
              <w:rPr>
                <w:b/>
                <w:bCs/>
                <w:noProof/>
                <w:color w:val="007BC4" w:themeColor="accent1"/>
                <w:sz w:val="22"/>
              </w:rPr>
              <w:t>Where do you have gaps?</w:t>
            </w:r>
          </w:p>
        </w:tc>
        <w:tc>
          <w:tcPr>
            <w:tcW w:w="0" w:type="auto"/>
            <w:vAlign w:val="center"/>
          </w:tcPr>
          <w:p w14:paraId="137816F5" w14:textId="707D5D8F" w:rsidR="00232531" w:rsidRPr="006B736A" w:rsidRDefault="007602D0" w:rsidP="007602D0">
            <w:pPr>
              <w:spacing w:line="276" w:lineRule="auto"/>
              <w:rPr>
                <w:bCs/>
                <w:noProof/>
                <w:sz w:val="22"/>
              </w:rPr>
            </w:pPr>
            <w:r w:rsidRPr="006B736A">
              <w:rPr>
                <w:sz w:val="22"/>
              </w:rPr>
              <w:t>New volunteers could support existing units. They might join the leadership team or take on a support role to give leaders more time with the girls. Or they could open a new unit with a small team to help deal with a waiting list or ensure girls are able to move to the next section.</w:t>
            </w:r>
          </w:p>
        </w:tc>
      </w:tr>
      <w:tr w:rsidR="00232531" w:rsidRPr="00232531" w14:paraId="6A7D5FD8" w14:textId="77777777" w:rsidTr="006B736A">
        <w:tc>
          <w:tcPr>
            <w:tcW w:w="0" w:type="auto"/>
            <w:vAlign w:val="center"/>
          </w:tcPr>
          <w:p w14:paraId="305865B3" w14:textId="34826D2D" w:rsidR="00232531" w:rsidRPr="006B736A" w:rsidRDefault="007602D0" w:rsidP="007602D0">
            <w:pPr>
              <w:spacing w:line="276" w:lineRule="auto"/>
              <w:rPr>
                <w:b/>
                <w:bCs/>
                <w:noProof/>
                <w:color w:val="007BC4" w:themeColor="accent1"/>
                <w:sz w:val="22"/>
              </w:rPr>
            </w:pPr>
            <w:r w:rsidRPr="006B736A">
              <w:rPr>
                <w:b/>
                <w:color w:val="007BC4" w:themeColor="accent1"/>
                <w:sz w:val="22"/>
              </w:rPr>
              <w:t>How could your team use the available recruitment resources?</w:t>
            </w:r>
          </w:p>
        </w:tc>
        <w:tc>
          <w:tcPr>
            <w:tcW w:w="0" w:type="auto"/>
            <w:vAlign w:val="center"/>
          </w:tcPr>
          <w:p w14:paraId="4A423F26" w14:textId="6E657E69" w:rsidR="00232531" w:rsidRPr="006B736A" w:rsidRDefault="007602D0" w:rsidP="007602D0">
            <w:pPr>
              <w:spacing w:line="276" w:lineRule="auto"/>
              <w:rPr>
                <w:bCs/>
                <w:noProof/>
                <w:sz w:val="22"/>
              </w:rPr>
            </w:pPr>
            <w:r w:rsidRPr="006B736A">
              <w:rPr>
                <w:sz w:val="22"/>
              </w:rPr>
              <w:t xml:space="preserve">Check out the </w:t>
            </w:r>
            <w:hyperlink r:id="rId11" w:history="1">
              <w:r w:rsidRPr="006B736A">
                <w:rPr>
                  <w:rStyle w:val="Hyperlink"/>
                  <w:sz w:val="22"/>
                </w:rPr>
                <w:t>recruitment and awareness raising tools and resources</w:t>
              </w:r>
            </w:hyperlink>
            <w:r w:rsidRPr="006B736A">
              <w:rPr>
                <w:sz w:val="22"/>
              </w:rPr>
              <w:t xml:space="preserve"> on the website to see what’s available before deciding to create something yourself. Think about how you could let people know you’re recruiting and who you want to attract.</w:t>
            </w:r>
          </w:p>
        </w:tc>
      </w:tr>
      <w:tr w:rsidR="00232531" w:rsidRPr="00232531" w14:paraId="548D37D5" w14:textId="77777777" w:rsidTr="006B736A">
        <w:tc>
          <w:tcPr>
            <w:tcW w:w="0" w:type="auto"/>
            <w:vAlign w:val="center"/>
          </w:tcPr>
          <w:p w14:paraId="66D2CB1E" w14:textId="0C5E8265" w:rsidR="00232531" w:rsidRPr="006B736A" w:rsidRDefault="007602D0" w:rsidP="007602D0">
            <w:pPr>
              <w:spacing w:line="276" w:lineRule="auto"/>
              <w:rPr>
                <w:b/>
                <w:bCs/>
                <w:noProof/>
                <w:color w:val="007BC4" w:themeColor="accent1"/>
                <w:sz w:val="22"/>
              </w:rPr>
            </w:pPr>
            <w:r w:rsidRPr="006B736A">
              <w:rPr>
                <w:b/>
                <w:color w:val="007BC4" w:themeColor="accent1"/>
                <w:sz w:val="22"/>
              </w:rPr>
              <w:t>Have you shared your recruitment plans?</w:t>
            </w:r>
          </w:p>
        </w:tc>
        <w:tc>
          <w:tcPr>
            <w:tcW w:w="0" w:type="auto"/>
            <w:vAlign w:val="center"/>
          </w:tcPr>
          <w:p w14:paraId="3FC71C15" w14:textId="352CB3B2" w:rsidR="00232531" w:rsidRPr="006B736A" w:rsidRDefault="007602D0" w:rsidP="007602D0">
            <w:pPr>
              <w:spacing w:line="276" w:lineRule="auto"/>
              <w:rPr>
                <w:bCs/>
                <w:noProof/>
                <w:sz w:val="22"/>
              </w:rPr>
            </w:pPr>
            <w:r w:rsidRPr="006B736A">
              <w:rPr>
                <w:sz w:val="22"/>
              </w:rPr>
              <w:t>Whether you’re recruiting for a particular unit or taking part in district or division-wide recruitment, make sure that everyone is aware of your plans. This will avoid mixed messages or duplication of effort. Make sure people know how they can get involved and support recruitment too.</w:t>
            </w:r>
          </w:p>
        </w:tc>
      </w:tr>
      <w:tr w:rsidR="00232531" w:rsidRPr="00232531" w14:paraId="5AFC8666" w14:textId="77777777" w:rsidTr="006B736A">
        <w:tc>
          <w:tcPr>
            <w:tcW w:w="0" w:type="auto"/>
            <w:vAlign w:val="center"/>
          </w:tcPr>
          <w:p w14:paraId="48A3B6ED" w14:textId="2981191E" w:rsidR="00232531" w:rsidRPr="006B736A" w:rsidRDefault="007602D0" w:rsidP="007602D0">
            <w:pPr>
              <w:spacing w:line="276" w:lineRule="auto"/>
              <w:rPr>
                <w:b/>
                <w:bCs/>
                <w:noProof/>
                <w:color w:val="007BC4" w:themeColor="accent1"/>
                <w:sz w:val="22"/>
              </w:rPr>
            </w:pPr>
            <w:r w:rsidRPr="006B736A">
              <w:rPr>
                <w:b/>
                <w:color w:val="007BC4" w:themeColor="accent1"/>
                <w:sz w:val="22"/>
              </w:rPr>
              <w:t>Have you encouraged units to approach parents?</w:t>
            </w:r>
          </w:p>
        </w:tc>
        <w:tc>
          <w:tcPr>
            <w:tcW w:w="0" w:type="auto"/>
            <w:vAlign w:val="center"/>
          </w:tcPr>
          <w:p w14:paraId="4BAD860D" w14:textId="27B4B7BB" w:rsidR="00232531" w:rsidRPr="006B736A" w:rsidRDefault="007602D0" w:rsidP="007602D0">
            <w:pPr>
              <w:spacing w:line="276" w:lineRule="auto"/>
              <w:rPr>
                <w:bCs/>
                <w:noProof/>
                <w:sz w:val="22"/>
              </w:rPr>
            </w:pPr>
            <w:r w:rsidRPr="006B736A">
              <w:rPr>
                <w:sz w:val="22"/>
              </w:rPr>
              <w:t xml:space="preserve">Before designing a recruitment plan, it makes sense to look at those on your doorstep. Some units assume that parents won’t help without giving them the opportunity to get involved. Check out the </w:t>
            </w:r>
            <w:hyperlink r:id="rId12" w:history="1">
              <w:r w:rsidRPr="006B736A">
                <w:rPr>
                  <w:rStyle w:val="Hyperlink"/>
                  <w:sz w:val="22"/>
                </w:rPr>
                <w:t>recruitment and warm welcome templates</w:t>
              </w:r>
            </w:hyperlink>
            <w:r w:rsidRPr="006B736A">
              <w:rPr>
                <w:sz w:val="22"/>
              </w:rPr>
              <w:t xml:space="preserve"> on our website for tips to get started. Parents of girls on waiting lists could also be invited to join with their daughter.</w:t>
            </w:r>
          </w:p>
        </w:tc>
      </w:tr>
      <w:tr w:rsidR="00232531" w:rsidRPr="00232531" w14:paraId="2AA5A074" w14:textId="77777777" w:rsidTr="006B736A">
        <w:tc>
          <w:tcPr>
            <w:tcW w:w="0" w:type="auto"/>
            <w:vAlign w:val="center"/>
          </w:tcPr>
          <w:p w14:paraId="24BCE38E" w14:textId="58AD4DAB" w:rsidR="00232531" w:rsidRPr="006B736A" w:rsidRDefault="007602D0" w:rsidP="007602D0">
            <w:pPr>
              <w:spacing w:line="276" w:lineRule="auto"/>
              <w:rPr>
                <w:b/>
                <w:bCs/>
                <w:noProof/>
                <w:color w:val="007BC4" w:themeColor="accent1"/>
                <w:sz w:val="22"/>
              </w:rPr>
            </w:pPr>
            <w:r w:rsidRPr="006B736A">
              <w:rPr>
                <w:b/>
                <w:color w:val="007BC4" w:themeColor="accent1"/>
                <w:sz w:val="22"/>
              </w:rPr>
              <w:lastRenderedPageBreak/>
              <w:t>Have you cleared any backlog of adult enquiries first?</w:t>
            </w:r>
          </w:p>
        </w:tc>
        <w:tc>
          <w:tcPr>
            <w:tcW w:w="0" w:type="auto"/>
            <w:vAlign w:val="center"/>
          </w:tcPr>
          <w:p w14:paraId="7D7272A8" w14:textId="6C6B02F4" w:rsidR="00232531" w:rsidRPr="006B736A" w:rsidRDefault="007602D0" w:rsidP="007602D0">
            <w:pPr>
              <w:spacing w:line="276" w:lineRule="auto"/>
              <w:rPr>
                <w:bCs/>
                <w:noProof/>
                <w:sz w:val="22"/>
              </w:rPr>
            </w:pPr>
            <w:r w:rsidRPr="006B736A">
              <w:rPr>
                <w:sz w:val="22"/>
              </w:rPr>
              <w:t>You need to have a plan in place for responding to enquiries BEFORE going out to recruit. If you have people on GO that have been waiting a long time for a response, make sure you deal with those enquiries. If you’re not sure how to approach someone who’s been waiting a long time, ask Scottish HQ for help.</w:t>
            </w:r>
          </w:p>
        </w:tc>
      </w:tr>
      <w:tr w:rsidR="00232531" w:rsidRPr="00232531" w14:paraId="723B6C7E" w14:textId="77777777" w:rsidTr="006B736A">
        <w:tc>
          <w:tcPr>
            <w:tcW w:w="0" w:type="auto"/>
            <w:vAlign w:val="center"/>
          </w:tcPr>
          <w:p w14:paraId="2F093AB6" w14:textId="3E6BFA84" w:rsidR="00232531" w:rsidRPr="006B736A" w:rsidRDefault="007602D0" w:rsidP="007602D0">
            <w:pPr>
              <w:spacing w:line="276" w:lineRule="auto"/>
              <w:rPr>
                <w:b/>
                <w:bCs/>
                <w:noProof/>
                <w:color w:val="007BC4" w:themeColor="accent1"/>
                <w:sz w:val="22"/>
              </w:rPr>
            </w:pPr>
            <w:r w:rsidRPr="006B736A">
              <w:rPr>
                <w:b/>
                <w:color w:val="007BC4" w:themeColor="accent1"/>
                <w:sz w:val="22"/>
              </w:rPr>
              <w:t>Have you asked Scottish Headquarters for support?</w:t>
            </w:r>
          </w:p>
        </w:tc>
        <w:tc>
          <w:tcPr>
            <w:tcW w:w="0" w:type="auto"/>
            <w:vAlign w:val="center"/>
          </w:tcPr>
          <w:p w14:paraId="101E3748" w14:textId="67ECC8B7" w:rsidR="00232531" w:rsidRPr="006B736A" w:rsidRDefault="007602D0" w:rsidP="007602D0">
            <w:pPr>
              <w:spacing w:line="276" w:lineRule="auto"/>
              <w:rPr>
                <w:bCs/>
                <w:noProof/>
                <w:sz w:val="22"/>
              </w:rPr>
            </w:pPr>
            <w:r w:rsidRPr="006B736A">
              <w:rPr>
                <w:sz w:val="22"/>
              </w:rPr>
              <w:t xml:space="preserve">Ask the Membership Development </w:t>
            </w:r>
            <w:r w:rsidRPr="00A33F1C">
              <w:rPr>
                <w:sz w:val="22"/>
              </w:rPr>
              <w:t>team</w:t>
            </w:r>
            <w:r w:rsidR="00A33F1C">
              <w:rPr>
                <w:sz w:val="22"/>
              </w:rPr>
              <w:t xml:space="preserve"> at</w:t>
            </w:r>
            <w:r w:rsidRPr="00A33F1C">
              <w:rPr>
                <w:sz w:val="22"/>
              </w:rPr>
              <w:t xml:space="preserve"> </w:t>
            </w:r>
            <w:r w:rsidR="00AB0405" w:rsidRPr="00A33F1C">
              <w:rPr>
                <w:sz w:val="22"/>
              </w:rPr>
              <w:t>growth@girlguiding-scot.org.uk</w:t>
            </w:r>
            <w:r w:rsidRPr="00A33F1C">
              <w:rPr>
                <w:sz w:val="22"/>
              </w:rPr>
              <w:t xml:space="preserve"> for</w:t>
            </w:r>
            <w:r w:rsidRPr="006B736A">
              <w:rPr>
                <w:sz w:val="22"/>
              </w:rPr>
              <w:t xml:space="preserve"> support to develop a recruitment plan. Once you know which roles you need to fill, Scottish Headquarters will help you advertise these roles for free.</w:t>
            </w:r>
          </w:p>
        </w:tc>
      </w:tr>
      <w:tr w:rsidR="007602D0" w:rsidRPr="00232531" w14:paraId="76D065FD" w14:textId="77777777" w:rsidTr="006B736A">
        <w:tc>
          <w:tcPr>
            <w:tcW w:w="0" w:type="auto"/>
            <w:gridSpan w:val="2"/>
            <w:shd w:val="clear" w:color="auto" w:fill="161B4E" w:themeFill="text2"/>
            <w:vAlign w:val="center"/>
          </w:tcPr>
          <w:p w14:paraId="50E4DBC8" w14:textId="3B495031" w:rsidR="007602D0" w:rsidRPr="007602D0" w:rsidRDefault="007602D0" w:rsidP="007602D0">
            <w:pPr>
              <w:pStyle w:val="Heading2"/>
              <w:numPr>
                <w:ilvl w:val="0"/>
                <w:numId w:val="0"/>
              </w:numPr>
              <w:spacing w:line="276" w:lineRule="auto"/>
              <w:ind w:left="737" w:hanging="737"/>
              <w:rPr>
                <w:bCs/>
                <w:noProof/>
                <w:color w:val="FFFFFF" w:themeColor="background1"/>
                <w:sz w:val="32"/>
                <w:szCs w:val="22"/>
              </w:rPr>
            </w:pPr>
            <w:r w:rsidRPr="007602D0">
              <w:rPr>
                <w:noProof/>
                <w:color w:val="FFFFFF" w:themeColor="background1"/>
                <w:sz w:val="32"/>
                <w:szCs w:val="22"/>
              </w:rPr>
              <w:t>While you are recruiting…</w:t>
            </w:r>
          </w:p>
        </w:tc>
      </w:tr>
      <w:tr w:rsidR="007602D0" w:rsidRPr="00232531" w14:paraId="6749ACCF" w14:textId="77777777" w:rsidTr="006B736A">
        <w:tc>
          <w:tcPr>
            <w:tcW w:w="0" w:type="auto"/>
            <w:vAlign w:val="center"/>
          </w:tcPr>
          <w:p w14:paraId="772CDD41" w14:textId="7EDA23DD" w:rsidR="007602D0" w:rsidRPr="006B736A" w:rsidRDefault="007602D0" w:rsidP="007602D0">
            <w:pPr>
              <w:spacing w:line="276" w:lineRule="auto"/>
              <w:rPr>
                <w:b/>
                <w:bCs/>
                <w:noProof/>
                <w:color w:val="007BC4" w:themeColor="accent1"/>
                <w:sz w:val="22"/>
              </w:rPr>
            </w:pPr>
            <w:r w:rsidRPr="006B736A">
              <w:rPr>
                <w:b/>
                <w:color w:val="007BC4" w:themeColor="accent1"/>
                <w:sz w:val="22"/>
              </w:rPr>
              <w:t>Send a reminder</w:t>
            </w:r>
          </w:p>
        </w:tc>
        <w:tc>
          <w:tcPr>
            <w:tcW w:w="0" w:type="auto"/>
            <w:vAlign w:val="center"/>
          </w:tcPr>
          <w:p w14:paraId="0F310997" w14:textId="3A81B340" w:rsidR="007602D0" w:rsidRPr="006B736A" w:rsidRDefault="007602D0" w:rsidP="007602D0">
            <w:pPr>
              <w:spacing w:line="276" w:lineRule="auto"/>
              <w:rPr>
                <w:bCs/>
                <w:noProof/>
                <w:sz w:val="22"/>
              </w:rPr>
            </w:pPr>
            <w:r w:rsidRPr="006B736A">
              <w:rPr>
                <w:sz w:val="22"/>
              </w:rPr>
              <w:t>It can take a while to put a plan into action so you might need to remind your local team of key dates when they arrive – this might be by sharing an advert that’s been published or a photo of you at an event or a poster in situ, for example.</w:t>
            </w:r>
          </w:p>
        </w:tc>
      </w:tr>
      <w:tr w:rsidR="007602D0" w:rsidRPr="00232531" w14:paraId="5DBB485F" w14:textId="77777777" w:rsidTr="006B736A">
        <w:tc>
          <w:tcPr>
            <w:tcW w:w="0" w:type="auto"/>
            <w:vAlign w:val="center"/>
          </w:tcPr>
          <w:p w14:paraId="10F816FC" w14:textId="76BB017C" w:rsidR="007602D0" w:rsidRPr="006B736A" w:rsidRDefault="007602D0" w:rsidP="007602D0">
            <w:pPr>
              <w:spacing w:line="276" w:lineRule="auto"/>
              <w:rPr>
                <w:b/>
                <w:bCs/>
                <w:noProof/>
                <w:color w:val="007BC4" w:themeColor="accent1"/>
                <w:sz w:val="22"/>
              </w:rPr>
            </w:pPr>
            <w:r w:rsidRPr="006B736A">
              <w:rPr>
                <w:b/>
                <w:color w:val="007BC4" w:themeColor="accent1"/>
                <w:sz w:val="22"/>
              </w:rPr>
              <w:t>Issue a challenge</w:t>
            </w:r>
          </w:p>
        </w:tc>
        <w:tc>
          <w:tcPr>
            <w:tcW w:w="0" w:type="auto"/>
            <w:vAlign w:val="center"/>
          </w:tcPr>
          <w:p w14:paraId="18966C09" w14:textId="6C79C3E4" w:rsidR="007602D0" w:rsidRPr="006B736A" w:rsidRDefault="007602D0" w:rsidP="007602D0">
            <w:pPr>
              <w:spacing w:line="276" w:lineRule="auto"/>
              <w:rPr>
                <w:bCs/>
                <w:noProof/>
                <w:sz w:val="22"/>
              </w:rPr>
            </w:pPr>
            <w:r w:rsidRPr="006B736A">
              <w:rPr>
                <w:sz w:val="22"/>
              </w:rPr>
              <w:t xml:space="preserve">Everyone can support recruitment – offer small ways to get involved. Could every unit put up a poster in their meeting place? </w:t>
            </w:r>
            <w:r w:rsidR="006B736A" w:rsidRPr="006B736A">
              <w:rPr>
                <w:sz w:val="22"/>
              </w:rPr>
              <w:t>C</w:t>
            </w:r>
            <w:r w:rsidRPr="006B736A">
              <w:rPr>
                <w:sz w:val="22"/>
              </w:rPr>
              <w:t>ould every leader share something positive about guiding on their social media?</w:t>
            </w:r>
            <w:r w:rsidR="006B736A" w:rsidRPr="006B736A">
              <w:rPr>
                <w:sz w:val="22"/>
              </w:rPr>
              <w:t xml:space="preserve"> Could every parent/carer share a post in one Facebook page or group?</w:t>
            </w:r>
          </w:p>
        </w:tc>
      </w:tr>
      <w:tr w:rsidR="007602D0" w:rsidRPr="00232531" w14:paraId="33FD434C" w14:textId="77777777" w:rsidTr="006B736A">
        <w:tc>
          <w:tcPr>
            <w:tcW w:w="0" w:type="auto"/>
            <w:vAlign w:val="center"/>
          </w:tcPr>
          <w:p w14:paraId="549A4E51" w14:textId="6E8F4D8C" w:rsidR="007602D0" w:rsidRPr="006B736A" w:rsidRDefault="007602D0" w:rsidP="007602D0">
            <w:pPr>
              <w:spacing w:line="276" w:lineRule="auto"/>
              <w:rPr>
                <w:b/>
                <w:bCs/>
                <w:noProof/>
                <w:color w:val="007BC4" w:themeColor="accent1"/>
                <w:sz w:val="22"/>
              </w:rPr>
            </w:pPr>
            <w:r w:rsidRPr="006B736A">
              <w:rPr>
                <w:b/>
                <w:color w:val="007BC4" w:themeColor="accent1"/>
                <w:sz w:val="22"/>
              </w:rPr>
              <w:t>Stuck for words?</w:t>
            </w:r>
          </w:p>
        </w:tc>
        <w:tc>
          <w:tcPr>
            <w:tcW w:w="0" w:type="auto"/>
            <w:vAlign w:val="center"/>
          </w:tcPr>
          <w:p w14:paraId="3EBB56C9" w14:textId="5B973F19" w:rsidR="007602D0" w:rsidRPr="006B736A" w:rsidRDefault="006B736A" w:rsidP="007602D0">
            <w:pPr>
              <w:spacing w:line="276" w:lineRule="auto"/>
              <w:rPr>
                <w:bCs/>
                <w:noProof/>
                <w:sz w:val="22"/>
              </w:rPr>
            </w:pPr>
            <w:r w:rsidRPr="006B736A">
              <w:rPr>
                <w:sz w:val="22"/>
              </w:rPr>
              <w:t xml:space="preserve">If you find face to face recruitment a challenge, use our </w:t>
            </w:r>
            <w:hyperlink r:id="rId13" w:history="1">
              <w:r w:rsidRPr="006B736A">
                <w:rPr>
                  <w:rStyle w:val="Hyperlink"/>
                  <w:sz w:val="22"/>
                </w:rPr>
                <w:t>conversation starters</w:t>
              </w:r>
            </w:hyperlink>
            <w:r w:rsidRPr="006B736A">
              <w:rPr>
                <w:sz w:val="22"/>
              </w:rPr>
              <w:t xml:space="preserve"> as inspiration. </w:t>
            </w:r>
          </w:p>
        </w:tc>
      </w:tr>
      <w:tr w:rsidR="007602D0" w:rsidRPr="00232531" w14:paraId="441BF3DE" w14:textId="77777777" w:rsidTr="006B736A">
        <w:tc>
          <w:tcPr>
            <w:tcW w:w="0" w:type="auto"/>
            <w:vAlign w:val="center"/>
          </w:tcPr>
          <w:p w14:paraId="7C6F9133" w14:textId="764E523B" w:rsidR="007602D0" w:rsidRPr="006B736A" w:rsidRDefault="007602D0" w:rsidP="007602D0">
            <w:pPr>
              <w:spacing w:line="276" w:lineRule="auto"/>
              <w:rPr>
                <w:b/>
                <w:color w:val="007BC4" w:themeColor="accent1"/>
                <w:sz w:val="22"/>
              </w:rPr>
            </w:pPr>
            <w:r w:rsidRPr="006B736A">
              <w:rPr>
                <w:b/>
                <w:color w:val="007BC4" w:themeColor="accent1"/>
                <w:sz w:val="22"/>
              </w:rPr>
              <w:t>Turn a ‘no’ into a ‘yes’</w:t>
            </w:r>
          </w:p>
        </w:tc>
        <w:tc>
          <w:tcPr>
            <w:tcW w:w="0" w:type="auto"/>
            <w:vAlign w:val="center"/>
          </w:tcPr>
          <w:p w14:paraId="5F225B78" w14:textId="0B2AE83C" w:rsidR="007602D0" w:rsidRPr="006B736A" w:rsidRDefault="006B736A" w:rsidP="007602D0">
            <w:pPr>
              <w:spacing w:line="276" w:lineRule="auto"/>
              <w:rPr>
                <w:bCs/>
                <w:noProof/>
                <w:sz w:val="22"/>
              </w:rPr>
            </w:pPr>
            <w:r w:rsidRPr="006B736A">
              <w:rPr>
                <w:sz w:val="22"/>
              </w:rPr>
              <w:t xml:space="preserve">Volunteering with us is much more flexible than a lot of people realise. Check out our </w:t>
            </w:r>
            <w:hyperlink r:id="rId14" w:history="1">
              <w:r w:rsidRPr="006B736A">
                <w:rPr>
                  <w:rStyle w:val="Hyperlink"/>
                  <w:sz w:val="22"/>
                </w:rPr>
                <w:t>guide to overcoming common barriers to volunteering</w:t>
              </w:r>
            </w:hyperlink>
            <w:r w:rsidRPr="006B736A">
              <w:rPr>
                <w:sz w:val="22"/>
              </w:rPr>
              <w:t xml:space="preserve"> resource for help to challenge some of the reasons people give for not getting involved</w:t>
            </w:r>
          </w:p>
        </w:tc>
      </w:tr>
      <w:tr w:rsidR="007602D0" w:rsidRPr="00232531" w14:paraId="09F23463" w14:textId="77777777" w:rsidTr="006B736A">
        <w:tc>
          <w:tcPr>
            <w:tcW w:w="0" w:type="auto"/>
            <w:vAlign w:val="center"/>
          </w:tcPr>
          <w:p w14:paraId="1814F39E" w14:textId="1117A8C7" w:rsidR="007602D0" w:rsidRPr="006B736A" w:rsidRDefault="007602D0" w:rsidP="007602D0">
            <w:pPr>
              <w:spacing w:line="276" w:lineRule="auto"/>
              <w:rPr>
                <w:b/>
                <w:color w:val="007BC4" w:themeColor="accent1"/>
                <w:sz w:val="22"/>
              </w:rPr>
            </w:pPr>
            <w:r w:rsidRPr="006B736A">
              <w:rPr>
                <w:b/>
                <w:color w:val="007BC4" w:themeColor="accent1"/>
                <w:sz w:val="22"/>
              </w:rPr>
              <w:lastRenderedPageBreak/>
              <w:t>Stay positive</w:t>
            </w:r>
          </w:p>
        </w:tc>
        <w:tc>
          <w:tcPr>
            <w:tcW w:w="0" w:type="auto"/>
            <w:vAlign w:val="center"/>
          </w:tcPr>
          <w:p w14:paraId="76D2A433" w14:textId="70F9A8BB" w:rsidR="007602D0" w:rsidRPr="006B736A" w:rsidRDefault="006B736A" w:rsidP="007602D0">
            <w:pPr>
              <w:spacing w:line="276" w:lineRule="auto"/>
              <w:rPr>
                <w:bCs/>
                <w:noProof/>
                <w:sz w:val="22"/>
              </w:rPr>
            </w:pPr>
            <w:r w:rsidRPr="006B736A">
              <w:rPr>
                <w:sz w:val="22"/>
              </w:rPr>
              <w:t xml:space="preserve">If you don’t succeed at first don’t give up. People need to hear about an idea many times before they </w:t>
            </w:r>
            <w:proofErr w:type="gramStart"/>
            <w:r w:rsidRPr="006B736A">
              <w:rPr>
                <w:sz w:val="22"/>
              </w:rPr>
              <w:t>take action</w:t>
            </w:r>
            <w:proofErr w:type="gramEnd"/>
            <w:r w:rsidRPr="006B736A">
              <w:rPr>
                <w:sz w:val="22"/>
              </w:rPr>
              <w:t>. Everything you do will be raising awareness of guiding, so even if someone doesn’t sign up straightaway your time hasn’t been wasted.</w:t>
            </w:r>
          </w:p>
        </w:tc>
      </w:tr>
      <w:tr w:rsidR="007602D0" w:rsidRPr="00232531" w14:paraId="1DD65CDF" w14:textId="77777777" w:rsidTr="006B736A">
        <w:tc>
          <w:tcPr>
            <w:tcW w:w="0" w:type="auto"/>
            <w:vAlign w:val="center"/>
          </w:tcPr>
          <w:p w14:paraId="7957AD61" w14:textId="654B9810" w:rsidR="007602D0" w:rsidRPr="006B736A" w:rsidRDefault="007602D0" w:rsidP="007602D0">
            <w:pPr>
              <w:spacing w:line="276" w:lineRule="auto"/>
              <w:rPr>
                <w:b/>
                <w:color w:val="007BC4" w:themeColor="accent1"/>
                <w:sz w:val="22"/>
              </w:rPr>
            </w:pPr>
            <w:r w:rsidRPr="006B736A">
              <w:rPr>
                <w:b/>
                <w:color w:val="007BC4" w:themeColor="accent1"/>
                <w:sz w:val="22"/>
              </w:rPr>
              <w:t>Make new connections</w:t>
            </w:r>
          </w:p>
        </w:tc>
        <w:tc>
          <w:tcPr>
            <w:tcW w:w="0" w:type="auto"/>
            <w:vAlign w:val="center"/>
          </w:tcPr>
          <w:p w14:paraId="33A3613E" w14:textId="29E97AF2" w:rsidR="007602D0" w:rsidRPr="006B736A" w:rsidRDefault="006B736A" w:rsidP="007602D0">
            <w:pPr>
              <w:spacing w:line="276" w:lineRule="auto"/>
              <w:rPr>
                <w:bCs/>
                <w:noProof/>
                <w:sz w:val="22"/>
              </w:rPr>
            </w:pPr>
            <w:r w:rsidRPr="006B736A">
              <w:rPr>
                <w:sz w:val="22"/>
              </w:rPr>
              <w:t>Recruitment activities can be a great way to make new connections which could benefit guiding in different ways. Keep an open mind and an eye out for opportunities!</w:t>
            </w:r>
          </w:p>
        </w:tc>
      </w:tr>
      <w:tr w:rsidR="007602D0" w:rsidRPr="00232531" w14:paraId="3E92B5B7" w14:textId="77777777" w:rsidTr="006B736A">
        <w:tc>
          <w:tcPr>
            <w:tcW w:w="0" w:type="auto"/>
            <w:gridSpan w:val="2"/>
            <w:shd w:val="clear" w:color="auto" w:fill="161B4E" w:themeFill="text2"/>
            <w:vAlign w:val="center"/>
          </w:tcPr>
          <w:p w14:paraId="41F3BC7C" w14:textId="63EFA10B" w:rsidR="007602D0" w:rsidRPr="007602D0" w:rsidRDefault="007602D0" w:rsidP="007602D0">
            <w:pPr>
              <w:pStyle w:val="Heading2"/>
              <w:numPr>
                <w:ilvl w:val="0"/>
                <w:numId w:val="0"/>
              </w:numPr>
              <w:spacing w:line="276" w:lineRule="auto"/>
              <w:ind w:left="737" w:hanging="737"/>
              <w:rPr>
                <w:noProof/>
                <w:color w:val="FFFFFF" w:themeColor="background1"/>
                <w:sz w:val="32"/>
                <w:szCs w:val="22"/>
              </w:rPr>
            </w:pPr>
            <w:r w:rsidRPr="007602D0">
              <w:rPr>
                <w:noProof/>
                <w:color w:val="FFFFFF" w:themeColor="background1"/>
                <w:sz w:val="32"/>
                <w:szCs w:val="22"/>
              </w:rPr>
              <w:t>When your recruitment activities are finished…</w:t>
            </w:r>
          </w:p>
        </w:tc>
      </w:tr>
      <w:tr w:rsidR="007602D0" w:rsidRPr="00232531" w14:paraId="322E848F" w14:textId="77777777" w:rsidTr="006B736A">
        <w:tc>
          <w:tcPr>
            <w:tcW w:w="0" w:type="auto"/>
            <w:vAlign w:val="center"/>
          </w:tcPr>
          <w:p w14:paraId="7A939C0A" w14:textId="6FE68A9B" w:rsidR="007602D0" w:rsidRPr="006B736A" w:rsidRDefault="007602D0" w:rsidP="007602D0">
            <w:pPr>
              <w:spacing w:line="276" w:lineRule="auto"/>
              <w:rPr>
                <w:b/>
                <w:color w:val="007BC4" w:themeColor="accent1"/>
                <w:sz w:val="22"/>
              </w:rPr>
            </w:pPr>
            <w:r w:rsidRPr="006B736A">
              <w:rPr>
                <w:b/>
                <w:color w:val="007BC4" w:themeColor="accent1"/>
                <w:sz w:val="22"/>
              </w:rPr>
              <w:t>Give a warm welcome</w:t>
            </w:r>
          </w:p>
        </w:tc>
        <w:tc>
          <w:tcPr>
            <w:tcW w:w="0" w:type="auto"/>
            <w:vAlign w:val="center"/>
          </w:tcPr>
          <w:p w14:paraId="0BD62AA4" w14:textId="26C2E98C" w:rsidR="007602D0" w:rsidRPr="006B736A" w:rsidRDefault="006B736A" w:rsidP="007602D0">
            <w:pPr>
              <w:spacing w:line="276" w:lineRule="auto"/>
              <w:rPr>
                <w:bCs/>
                <w:noProof/>
                <w:sz w:val="22"/>
              </w:rPr>
            </w:pPr>
            <w:r w:rsidRPr="006B736A">
              <w:rPr>
                <w:sz w:val="22"/>
              </w:rPr>
              <w:t xml:space="preserve">Respond to new enquiries </w:t>
            </w:r>
            <w:r w:rsidRPr="00A33F1C">
              <w:rPr>
                <w:sz w:val="22"/>
              </w:rPr>
              <w:t>within 10 days</w:t>
            </w:r>
            <w:r w:rsidRPr="006B736A">
              <w:rPr>
                <w:sz w:val="22"/>
              </w:rPr>
              <w:t xml:space="preserve">. There are </w:t>
            </w:r>
            <w:hyperlink r:id="rId15" w:history="1">
              <w:r w:rsidRPr="006B736A">
                <w:rPr>
                  <w:rStyle w:val="Hyperlink"/>
                  <w:sz w:val="22"/>
                </w:rPr>
                <w:t>enquiry templates</w:t>
              </w:r>
            </w:hyperlink>
            <w:r w:rsidRPr="006B736A">
              <w:rPr>
                <w:sz w:val="22"/>
              </w:rPr>
              <w:t xml:space="preserve"> available to help with early conversations whether on the phone or by email. </w:t>
            </w:r>
          </w:p>
        </w:tc>
      </w:tr>
      <w:tr w:rsidR="007602D0" w:rsidRPr="00232531" w14:paraId="3CA37094" w14:textId="77777777" w:rsidTr="006B736A">
        <w:tc>
          <w:tcPr>
            <w:tcW w:w="0" w:type="auto"/>
            <w:vAlign w:val="center"/>
          </w:tcPr>
          <w:p w14:paraId="04D00CB6" w14:textId="5261029B" w:rsidR="007602D0" w:rsidRPr="006B736A" w:rsidRDefault="007602D0" w:rsidP="007602D0">
            <w:pPr>
              <w:spacing w:line="276" w:lineRule="auto"/>
              <w:rPr>
                <w:b/>
                <w:color w:val="007BC4" w:themeColor="accent1"/>
                <w:sz w:val="22"/>
              </w:rPr>
            </w:pPr>
            <w:r w:rsidRPr="006B736A">
              <w:rPr>
                <w:b/>
                <w:color w:val="007BC4" w:themeColor="accent1"/>
                <w:sz w:val="22"/>
              </w:rPr>
              <w:t>Tools to help</w:t>
            </w:r>
          </w:p>
        </w:tc>
        <w:tc>
          <w:tcPr>
            <w:tcW w:w="0" w:type="auto"/>
            <w:vAlign w:val="center"/>
          </w:tcPr>
          <w:p w14:paraId="3C845AFD" w14:textId="042414C6" w:rsidR="007602D0" w:rsidRPr="006B736A" w:rsidRDefault="006B736A" w:rsidP="007602D0">
            <w:pPr>
              <w:spacing w:line="276" w:lineRule="auto"/>
              <w:rPr>
                <w:bCs/>
                <w:noProof/>
                <w:sz w:val="22"/>
              </w:rPr>
            </w:pPr>
            <w:r w:rsidRPr="006B736A">
              <w:rPr>
                <w:sz w:val="22"/>
              </w:rPr>
              <w:t xml:space="preserve">Check out the </w:t>
            </w:r>
            <w:hyperlink r:id="rId16" w:history="1">
              <w:r w:rsidRPr="006B736A">
                <w:rPr>
                  <w:rStyle w:val="Hyperlink"/>
                  <w:sz w:val="22"/>
                </w:rPr>
                <w:t>welcome and induction</w:t>
              </w:r>
            </w:hyperlink>
            <w:r w:rsidRPr="006B736A">
              <w:rPr>
                <w:sz w:val="22"/>
              </w:rPr>
              <w:t xml:space="preserve"> section of the Scottish website for links to everything needed for a warm welcome.</w:t>
            </w:r>
          </w:p>
        </w:tc>
      </w:tr>
      <w:tr w:rsidR="007602D0" w:rsidRPr="00232531" w14:paraId="2F054C5D" w14:textId="77777777" w:rsidTr="006B736A">
        <w:tc>
          <w:tcPr>
            <w:tcW w:w="0" w:type="auto"/>
            <w:vAlign w:val="center"/>
          </w:tcPr>
          <w:p w14:paraId="075148DA" w14:textId="45F7CB0F" w:rsidR="007602D0" w:rsidRPr="006B736A" w:rsidRDefault="007602D0" w:rsidP="007602D0">
            <w:pPr>
              <w:spacing w:line="276" w:lineRule="auto"/>
              <w:rPr>
                <w:b/>
                <w:color w:val="007BC4" w:themeColor="accent1"/>
                <w:sz w:val="22"/>
              </w:rPr>
            </w:pPr>
            <w:r w:rsidRPr="006B736A">
              <w:rPr>
                <w:b/>
                <w:color w:val="007BC4" w:themeColor="accent1"/>
                <w:sz w:val="22"/>
              </w:rPr>
              <w:t>Monitor impact</w:t>
            </w:r>
          </w:p>
        </w:tc>
        <w:tc>
          <w:tcPr>
            <w:tcW w:w="0" w:type="auto"/>
            <w:vAlign w:val="center"/>
          </w:tcPr>
          <w:p w14:paraId="54648313" w14:textId="66AB20C2" w:rsidR="007602D0" w:rsidRPr="006B736A" w:rsidRDefault="006B736A" w:rsidP="007602D0">
            <w:pPr>
              <w:spacing w:line="276" w:lineRule="auto"/>
              <w:rPr>
                <w:bCs/>
                <w:noProof/>
                <w:sz w:val="22"/>
              </w:rPr>
            </w:pPr>
            <w:r w:rsidRPr="006B736A">
              <w:rPr>
                <w:sz w:val="22"/>
              </w:rPr>
              <w:t>It might take a few weeks for the impact of your activities to be seen on GO. When someone registers interest, have a chat with them about what inspired them to volunteer.</w:t>
            </w:r>
          </w:p>
        </w:tc>
      </w:tr>
      <w:tr w:rsidR="007602D0" w:rsidRPr="00232531" w14:paraId="0A8AC781" w14:textId="77777777" w:rsidTr="006B736A">
        <w:tc>
          <w:tcPr>
            <w:tcW w:w="0" w:type="auto"/>
            <w:vAlign w:val="center"/>
          </w:tcPr>
          <w:p w14:paraId="05ED1369" w14:textId="299F460B" w:rsidR="007602D0" w:rsidRPr="006B736A" w:rsidRDefault="007602D0" w:rsidP="007602D0">
            <w:pPr>
              <w:spacing w:line="276" w:lineRule="auto"/>
              <w:rPr>
                <w:b/>
                <w:color w:val="007BC4" w:themeColor="accent1"/>
                <w:sz w:val="22"/>
              </w:rPr>
            </w:pPr>
            <w:r w:rsidRPr="006B736A">
              <w:rPr>
                <w:b/>
                <w:color w:val="007BC4" w:themeColor="accent1"/>
                <w:sz w:val="22"/>
              </w:rPr>
              <w:t>Reflect</w:t>
            </w:r>
          </w:p>
        </w:tc>
        <w:tc>
          <w:tcPr>
            <w:tcW w:w="0" w:type="auto"/>
            <w:vAlign w:val="center"/>
          </w:tcPr>
          <w:p w14:paraId="730E66CD" w14:textId="5714DAFF" w:rsidR="007602D0" w:rsidRPr="006B736A" w:rsidRDefault="006B736A" w:rsidP="007602D0">
            <w:pPr>
              <w:spacing w:line="276" w:lineRule="auto"/>
              <w:rPr>
                <w:bCs/>
                <w:noProof/>
                <w:sz w:val="22"/>
              </w:rPr>
            </w:pPr>
            <w:r w:rsidRPr="006B736A">
              <w:rPr>
                <w:sz w:val="22"/>
              </w:rPr>
              <w:t>After a bit of time has passed, reflect on what worked well and what you would change next time. Were you more successful at filling some roles than others? Ask Scottish HQ for help to fill remaining gaps.</w:t>
            </w:r>
          </w:p>
        </w:tc>
      </w:tr>
      <w:tr w:rsidR="007602D0" w:rsidRPr="00232531" w14:paraId="59AC6B5C" w14:textId="77777777" w:rsidTr="006B736A">
        <w:tc>
          <w:tcPr>
            <w:tcW w:w="0" w:type="auto"/>
            <w:vAlign w:val="center"/>
          </w:tcPr>
          <w:p w14:paraId="6FAC9390" w14:textId="1CA4F1BA" w:rsidR="007602D0" w:rsidRPr="006B736A" w:rsidRDefault="007602D0" w:rsidP="007602D0">
            <w:pPr>
              <w:spacing w:line="276" w:lineRule="auto"/>
              <w:rPr>
                <w:b/>
                <w:color w:val="007BC4" w:themeColor="accent1"/>
                <w:sz w:val="22"/>
              </w:rPr>
            </w:pPr>
            <w:r w:rsidRPr="006B736A">
              <w:rPr>
                <w:b/>
                <w:color w:val="007BC4" w:themeColor="accent1"/>
                <w:sz w:val="22"/>
              </w:rPr>
              <w:t>Share</w:t>
            </w:r>
          </w:p>
        </w:tc>
        <w:tc>
          <w:tcPr>
            <w:tcW w:w="0" w:type="auto"/>
            <w:vAlign w:val="center"/>
          </w:tcPr>
          <w:p w14:paraId="4AA5E76F" w14:textId="5C32CB18" w:rsidR="007602D0" w:rsidRPr="006B736A" w:rsidRDefault="006B736A" w:rsidP="007602D0">
            <w:pPr>
              <w:spacing w:line="276" w:lineRule="auto"/>
              <w:rPr>
                <w:bCs/>
                <w:noProof/>
                <w:sz w:val="22"/>
              </w:rPr>
            </w:pPr>
            <w:r w:rsidRPr="006B736A">
              <w:rPr>
                <w:sz w:val="22"/>
              </w:rPr>
              <w:t>Share what worked well and what didn’t work so well with other areas. If you think there’s a gap in the support available, let Scottish HQ know too as we might be able to help in future.</w:t>
            </w:r>
          </w:p>
        </w:tc>
      </w:tr>
    </w:tbl>
    <w:p w14:paraId="5133AD43" w14:textId="77777777" w:rsidR="009C7646" w:rsidRPr="00232531" w:rsidRDefault="009C7646" w:rsidP="009E14E5">
      <w:pPr>
        <w:spacing w:line="240" w:lineRule="auto"/>
      </w:pPr>
    </w:p>
    <w:p w14:paraId="59D8B83A" w14:textId="77777777" w:rsidR="009C7646" w:rsidRPr="00232531" w:rsidRDefault="009C7646" w:rsidP="009E14E5">
      <w:pPr>
        <w:spacing w:line="240" w:lineRule="auto"/>
      </w:pPr>
    </w:p>
    <w:sectPr w:rsidR="009C7646" w:rsidRPr="00232531" w:rsidSect="00F56E6C">
      <w:headerReference w:type="default" r:id="rId17"/>
      <w:footerReference w:type="default" r:id="rId18"/>
      <w:headerReference w:type="first" r:id="rId19"/>
      <w:footerReference w:type="first" r:id="rId20"/>
      <w:pgSz w:w="16838" w:h="11906" w:orient="landscape" w:code="9"/>
      <w:pgMar w:top="1418" w:right="1701" w:bottom="1418" w:left="170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2D29" w14:textId="77777777" w:rsidR="005E4E91" w:rsidRDefault="005E4E91" w:rsidP="00DE27DB">
      <w:pPr>
        <w:spacing w:line="240" w:lineRule="auto"/>
      </w:pPr>
      <w:r>
        <w:separator/>
      </w:r>
    </w:p>
    <w:p w14:paraId="45AF81EB" w14:textId="77777777" w:rsidR="005E4E91" w:rsidRDefault="005E4E91"/>
    <w:p w14:paraId="7917F04E" w14:textId="77777777" w:rsidR="005E4E91" w:rsidRDefault="005E4E91"/>
    <w:p w14:paraId="266ADBAB" w14:textId="77777777" w:rsidR="005E4E91" w:rsidRDefault="005E4E91"/>
  </w:endnote>
  <w:endnote w:type="continuationSeparator" w:id="0">
    <w:p w14:paraId="209F9813" w14:textId="77777777" w:rsidR="005E4E91" w:rsidRDefault="005E4E91" w:rsidP="00DE27DB">
      <w:pPr>
        <w:spacing w:line="240" w:lineRule="auto"/>
      </w:pPr>
      <w:r>
        <w:continuationSeparator/>
      </w:r>
    </w:p>
    <w:p w14:paraId="2599E50C" w14:textId="77777777" w:rsidR="005E4E91" w:rsidRDefault="005E4E91"/>
    <w:p w14:paraId="1BF4D687" w14:textId="77777777" w:rsidR="005E4E91" w:rsidRDefault="005E4E91"/>
    <w:p w14:paraId="1AD6B25E" w14:textId="77777777" w:rsidR="005E4E91" w:rsidRDefault="005E4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Poppins SemiBold">
    <w:panose1 w:val="00000700000000000000"/>
    <w:charset w:val="00"/>
    <w:family w:val="auto"/>
    <w:pitch w:val="variable"/>
    <w:sig w:usb0="00008007" w:usb1="00000000" w:usb2="00000000" w:usb3="00000000" w:csb0="00000093" w:csb1="00000000"/>
  </w:font>
  <w:font w:name="Zilla Slab SemiBold">
    <w:panose1 w:val="00000000000000000000"/>
    <w:charset w:val="4D"/>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2183" w14:textId="2EDC6787" w:rsidR="009C7646" w:rsidRDefault="00F56E6C" w:rsidP="009C7646">
    <w:pPr>
      <w:pStyle w:val="Footer"/>
      <w:tabs>
        <w:tab w:val="clear" w:pos="4513"/>
        <w:tab w:val="clear" w:pos="9026"/>
        <w:tab w:val="left" w:pos="7920"/>
      </w:tabs>
    </w:pPr>
    <w:r>
      <w:rPr>
        <w:noProof/>
        <w:color w:val="FFFFFF" w:themeColor="background1"/>
      </w:rPr>
      <mc:AlternateContent>
        <mc:Choice Requires="wps">
          <w:drawing>
            <wp:anchor distT="0" distB="0" distL="114300" distR="114300" simplePos="0" relativeHeight="251673600" behindDoc="1" locked="0" layoutInCell="1" allowOverlap="1" wp14:anchorId="7D195582" wp14:editId="4DFF4938">
              <wp:simplePos x="0" y="0"/>
              <wp:positionH relativeFrom="page">
                <wp:align>right</wp:align>
              </wp:positionH>
              <wp:positionV relativeFrom="paragraph">
                <wp:posOffset>-339090</wp:posOffset>
              </wp:positionV>
              <wp:extent cx="10677525" cy="984250"/>
              <wp:effectExtent l="0" t="0" r="9525" b="6350"/>
              <wp:wrapNone/>
              <wp:docPr id="226996623" name="Rectangle 226996623"/>
              <wp:cNvGraphicFramePr/>
              <a:graphic xmlns:a="http://schemas.openxmlformats.org/drawingml/2006/main">
                <a:graphicData uri="http://schemas.microsoft.com/office/word/2010/wordprocessingShape">
                  <wps:wsp>
                    <wps:cNvSpPr/>
                    <wps:spPr>
                      <a:xfrm>
                        <a:off x="0" y="0"/>
                        <a:ext cx="10677525" cy="984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89BB0" id="Rectangle 226996623" o:spid="_x0000_s1026" style="position:absolute;margin-left:789.55pt;margin-top:-26.7pt;width:840.75pt;height:77.5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" fillcolor="#161b4e [3215]" stroked="f" strokeweight="1pt">
              <w10:wrap anchorx="page"/>
            </v:rect>
          </w:pict>
        </mc:Fallback>
      </mc:AlternateContent>
    </w:r>
    <w:r w:rsidR="009C7646">
      <w:rPr>
        <w:noProof/>
        <w:color w:val="FFFFFF" w:themeColor="background1"/>
      </w:rPr>
      <w:drawing>
        <wp:anchor distT="0" distB="0" distL="114300" distR="114300" simplePos="0" relativeHeight="251675648" behindDoc="0" locked="0" layoutInCell="1" allowOverlap="1" wp14:anchorId="123366C0" wp14:editId="3AC036A4">
          <wp:simplePos x="0" y="0"/>
          <wp:positionH relativeFrom="column">
            <wp:posOffset>-274320</wp:posOffset>
          </wp:positionH>
          <wp:positionV relativeFrom="paragraph">
            <wp:posOffset>-171450</wp:posOffset>
          </wp:positionV>
          <wp:extent cx="1838960" cy="748030"/>
          <wp:effectExtent l="0" t="0" r="8890" b="0"/>
          <wp:wrapNone/>
          <wp:docPr id="1976520363" name="Picture 1976520363"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20363" name="Picture 1976520363"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9C7646">
      <w:tab/>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B198" w14:textId="12717A0E" w:rsidR="00BD79D6" w:rsidRDefault="00BD79D6"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594BBD5E">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98339"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689F3B5F">
          <wp:simplePos x="0" y="0"/>
          <wp:positionH relativeFrom="column">
            <wp:posOffset>-166783</wp:posOffset>
          </wp:positionH>
          <wp:positionV relativeFrom="paragraph">
            <wp:posOffset>5420</wp:posOffset>
          </wp:positionV>
          <wp:extent cx="1838960" cy="748030"/>
          <wp:effectExtent l="0" t="0" r="8890" b="0"/>
          <wp:wrapNone/>
          <wp:docPr id="1739491467" name="Picture 173949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5FB" w:rsidRPr="00A167B3">
      <w:rPr>
        <w:color w:val="FFFFFF" w:themeColor="background1"/>
      </w:rPr>
      <w:ptab w:relativeTo="margin" w:alignment="right" w:leader="none"/>
    </w:r>
  </w:p>
  <w:p w14:paraId="6C9D60AE" w14:textId="01E378BD" w:rsidR="001B55FB" w:rsidRPr="00BD79D6" w:rsidRDefault="001B55FB" w:rsidP="00BD79D6">
    <w:pPr>
      <w:pStyle w:val="Footer"/>
      <w:jc w:val="right"/>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78B4" w14:textId="77777777" w:rsidR="005E4E91" w:rsidRDefault="005E4E91" w:rsidP="00DE27DB">
      <w:pPr>
        <w:spacing w:line="240" w:lineRule="auto"/>
      </w:pPr>
      <w:r>
        <w:separator/>
      </w:r>
    </w:p>
    <w:p w14:paraId="0AEC7CB1" w14:textId="77777777" w:rsidR="005E4E91" w:rsidRDefault="005E4E91"/>
    <w:p w14:paraId="2D7849F9" w14:textId="77777777" w:rsidR="005E4E91" w:rsidRDefault="005E4E91"/>
    <w:p w14:paraId="7ABAADB8" w14:textId="77777777" w:rsidR="005E4E91" w:rsidRDefault="005E4E91"/>
  </w:footnote>
  <w:footnote w:type="continuationSeparator" w:id="0">
    <w:p w14:paraId="3FC09BEB" w14:textId="77777777" w:rsidR="005E4E91" w:rsidRDefault="005E4E91" w:rsidP="00DE27DB">
      <w:pPr>
        <w:spacing w:line="240" w:lineRule="auto"/>
      </w:pPr>
      <w:r>
        <w:continuationSeparator/>
      </w:r>
    </w:p>
    <w:p w14:paraId="5B2A53B2" w14:textId="77777777" w:rsidR="005E4E91" w:rsidRDefault="005E4E91"/>
    <w:p w14:paraId="01D9BEE4" w14:textId="77777777" w:rsidR="005E4E91" w:rsidRDefault="005E4E91"/>
    <w:p w14:paraId="197CE189" w14:textId="77777777" w:rsidR="005E4E91" w:rsidRDefault="005E4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A3B" w14:textId="76CA4F18" w:rsidR="009C7646" w:rsidRPr="009C7646" w:rsidRDefault="00AE18EC">
    <w:pPr>
      <w:pStyle w:val="Header"/>
      <w:jc w:val="right"/>
      <w:rPr>
        <w:sz w:val="16"/>
        <w:szCs w:val="24"/>
      </w:rPr>
    </w:pPr>
    <w:r>
      <w:rPr>
        <w:noProof/>
        <w:sz w:val="16"/>
        <w:szCs w:val="24"/>
      </w:rPr>
      <w:drawing>
        <wp:anchor distT="0" distB="0" distL="114300" distR="114300" simplePos="0" relativeHeight="251676672" behindDoc="1" locked="0" layoutInCell="1" allowOverlap="1" wp14:anchorId="3312FC51" wp14:editId="6439F955">
          <wp:simplePos x="0" y="0"/>
          <wp:positionH relativeFrom="margin">
            <wp:align>right</wp:align>
          </wp:positionH>
          <wp:positionV relativeFrom="paragraph">
            <wp:posOffset>-321945</wp:posOffset>
          </wp:positionV>
          <wp:extent cx="1123315" cy="1220470"/>
          <wp:effectExtent l="0" t="0" r="0" b="0"/>
          <wp:wrapTight wrapText="bothSides">
            <wp:wrapPolygon edited="0">
              <wp:start x="9524" y="1011"/>
              <wp:lineTo x="2930" y="6743"/>
              <wp:lineTo x="2930" y="7080"/>
              <wp:lineTo x="2564" y="10114"/>
              <wp:lineTo x="4762" y="12137"/>
              <wp:lineTo x="9158" y="12475"/>
              <wp:lineTo x="1465" y="14835"/>
              <wp:lineTo x="1465" y="17532"/>
              <wp:lineTo x="6227" y="18206"/>
              <wp:lineTo x="6594" y="20229"/>
              <wp:lineTo x="15019" y="20229"/>
              <wp:lineTo x="15385" y="18543"/>
              <wp:lineTo x="19781" y="17869"/>
              <wp:lineTo x="19781" y="15172"/>
              <wp:lineTo x="12088" y="12475"/>
              <wp:lineTo x="16118" y="12475"/>
              <wp:lineTo x="19048" y="9777"/>
              <wp:lineTo x="18315" y="6743"/>
              <wp:lineTo x="11722" y="1011"/>
              <wp:lineTo x="9524" y="1011"/>
            </wp:wrapPolygon>
          </wp:wrapTight>
          <wp:docPr id="233488916" name="Picture 1" descr="A blue logo with a star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88916" name="Picture 1" descr="A blue logo with a star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3315" cy="1220470"/>
                  </a:xfrm>
                  <a:prstGeom prst="rect">
                    <a:avLst/>
                  </a:prstGeom>
                </pic:spPr>
              </pic:pic>
            </a:graphicData>
          </a:graphic>
          <wp14:sizeRelH relativeFrom="margin">
            <wp14:pctWidth>0</wp14:pctWidth>
          </wp14:sizeRelH>
          <wp14:sizeRelV relativeFrom="margin">
            <wp14:pctHeight>0</wp14:pctHeight>
          </wp14:sizeRelV>
        </wp:anchor>
      </w:drawing>
    </w:r>
  </w:p>
  <w:p w14:paraId="13724BE5" w14:textId="77777777" w:rsidR="009C7646" w:rsidRDefault="009C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C83A" w14:textId="215C0224" w:rsidR="001B55FB" w:rsidRPr="00B14C18" w:rsidRDefault="00AE18EC" w:rsidP="00B14C18">
    <w:pPr>
      <w:pStyle w:val="Header"/>
    </w:pPr>
    <w:r>
      <w:fldChar w:fldCharType="begin"/>
    </w:r>
    <w:r>
      <w:instrText xml:space="preserve"> STYLEREF  "Cover title"  \* MERGEFORMAT </w:instrText>
    </w:r>
    <w:r>
      <w:fldChar w:fldCharType="separate"/>
    </w:r>
    <w:r w:rsidR="009C7646">
      <w:rPr>
        <w:noProof/>
      </w:rPr>
      <w:t>Document title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4673D0F"/>
    <w:multiLevelType w:val="multilevel"/>
    <w:tmpl w:val="07943562"/>
    <w:numStyleLink w:val="BulletList"/>
  </w:abstractNum>
  <w:num w:numId="1" w16cid:durableId="1177577135">
    <w:abstractNumId w:val="8"/>
  </w:num>
  <w:num w:numId="2" w16cid:durableId="1567378546">
    <w:abstractNumId w:val="7"/>
  </w:num>
  <w:num w:numId="3" w16cid:durableId="1640499841">
    <w:abstractNumId w:val="8"/>
  </w:num>
  <w:num w:numId="4" w16cid:durableId="196700938">
    <w:abstractNumId w:val="5"/>
  </w:num>
  <w:num w:numId="5" w16cid:durableId="2116288819">
    <w:abstractNumId w:val="6"/>
  </w:num>
  <w:num w:numId="6" w16cid:durableId="1646545039">
    <w:abstractNumId w:val="9"/>
  </w:num>
  <w:num w:numId="7" w16cid:durableId="283771383">
    <w:abstractNumId w:val="4"/>
  </w:num>
  <w:num w:numId="8" w16cid:durableId="758675614">
    <w:abstractNumId w:val="3"/>
  </w:num>
  <w:num w:numId="9" w16cid:durableId="1721324811">
    <w:abstractNumId w:val="2"/>
  </w:num>
  <w:num w:numId="10" w16cid:durableId="1442528878">
    <w:abstractNumId w:val="1"/>
  </w:num>
  <w:num w:numId="11" w16cid:durableId="5100456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386A"/>
    <w:rsid w:val="00034DF7"/>
    <w:rsid w:val="00037B26"/>
    <w:rsid w:val="0004634B"/>
    <w:rsid w:val="00081750"/>
    <w:rsid w:val="00087F6B"/>
    <w:rsid w:val="0009056A"/>
    <w:rsid w:val="000A3BB9"/>
    <w:rsid w:val="000A3D76"/>
    <w:rsid w:val="000A631A"/>
    <w:rsid w:val="000E4DB6"/>
    <w:rsid w:val="000F5B2D"/>
    <w:rsid w:val="001159CD"/>
    <w:rsid w:val="0011626B"/>
    <w:rsid w:val="001210B1"/>
    <w:rsid w:val="0014722F"/>
    <w:rsid w:val="00150A20"/>
    <w:rsid w:val="00157692"/>
    <w:rsid w:val="00162DF1"/>
    <w:rsid w:val="00195C8E"/>
    <w:rsid w:val="001A1C80"/>
    <w:rsid w:val="001A5FA2"/>
    <w:rsid w:val="001B4825"/>
    <w:rsid w:val="001B55FB"/>
    <w:rsid w:val="001D2D06"/>
    <w:rsid w:val="001D2DCD"/>
    <w:rsid w:val="001D76AB"/>
    <w:rsid w:val="001F1468"/>
    <w:rsid w:val="001F3767"/>
    <w:rsid w:val="001F5A2A"/>
    <w:rsid w:val="00202196"/>
    <w:rsid w:val="00224F47"/>
    <w:rsid w:val="002258E0"/>
    <w:rsid w:val="00225F50"/>
    <w:rsid w:val="00232531"/>
    <w:rsid w:val="002474A7"/>
    <w:rsid w:val="00287D53"/>
    <w:rsid w:val="002E1510"/>
    <w:rsid w:val="002F1458"/>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B2058"/>
    <w:rsid w:val="003C30EA"/>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5131B9"/>
    <w:rsid w:val="00524972"/>
    <w:rsid w:val="0054142D"/>
    <w:rsid w:val="0054325D"/>
    <w:rsid w:val="00566582"/>
    <w:rsid w:val="00571377"/>
    <w:rsid w:val="00573538"/>
    <w:rsid w:val="00577E67"/>
    <w:rsid w:val="00581D85"/>
    <w:rsid w:val="005962D4"/>
    <w:rsid w:val="005C5A02"/>
    <w:rsid w:val="005C7B84"/>
    <w:rsid w:val="005D197A"/>
    <w:rsid w:val="005E44BB"/>
    <w:rsid w:val="005E496F"/>
    <w:rsid w:val="005E4E91"/>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36A"/>
    <w:rsid w:val="006B75BA"/>
    <w:rsid w:val="006C03CF"/>
    <w:rsid w:val="006C534A"/>
    <w:rsid w:val="006E19B7"/>
    <w:rsid w:val="00705C03"/>
    <w:rsid w:val="007107E2"/>
    <w:rsid w:val="007129BD"/>
    <w:rsid w:val="007216DF"/>
    <w:rsid w:val="00734EE6"/>
    <w:rsid w:val="007409D2"/>
    <w:rsid w:val="00750856"/>
    <w:rsid w:val="007509A8"/>
    <w:rsid w:val="00753674"/>
    <w:rsid w:val="00754C13"/>
    <w:rsid w:val="007602D0"/>
    <w:rsid w:val="00775A7D"/>
    <w:rsid w:val="007902E5"/>
    <w:rsid w:val="007A346D"/>
    <w:rsid w:val="007A6B23"/>
    <w:rsid w:val="007B235D"/>
    <w:rsid w:val="007B6387"/>
    <w:rsid w:val="007C0490"/>
    <w:rsid w:val="007C11DC"/>
    <w:rsid w:val="008131AA"/>
    <w:rsid w:val="0083055F"/>
    <w:rsid w:val="00841609"/>
    <w:rsid w:val="00843858"/>
    <w:rsid w:val="00845A02"/>
    <w:rsid w:val="008524C0"/>
    <w:rsid w:val="00855DE7"/>
    <w:rsid w:val="00875DF8"/>
    <w:rsid w:val="00876EB5"/>
    <w:rsid w:val="00884A4C"/>
    <w:rsid w:val="008A123E"/>
    <w:rsid w:val="008D6DCC"/>
    <w:rsid w:val="008E6C91"/>
    <w:rsid w:val="008F1167"/>
    <w:rsid w:val="00920CFA"/>
    <w:rsid w:val="00925A08"/>
    <w:rsid w:val="00927269"/>
    <w:rsid w:val="0093124F"/>
    <w:rsid w:val="00945AB6"/>
    <w:rsid w:val="00951C4B"/>
    <w:rsid w:val="00963B1D"/>
    <w:rsid w:val="0097419B"/>
    <w:rsid w:val="009A5F5F"/>
    <w:rsid w:val="009A7E75"/>
    <w:rsid w:val="009C2353"/>
    <w:rsid w:val="009C7646"/>
    <w:rsid w:val="009D3D90"/>
    <w:rsid w:val="009E14E5"/>
    <w:rsid w:val="009F522A"/>
    <w:rsid w:val="00A02A5D"/>
    <w:rsid w:val="00A1487A"/>
    <w:rsid w:val="00A167B3"/>
    <w:rsid w:val="00A33F1C"/>
    <w:rsid w:val="00A34817"/>
    <w:rsid w:val="00A45DD9"/>
    <w:rsid w:val="00A5485E"/>
    <w:rsid w:val="00A82179"/>
    <w:rsid w:val="00A8430E"/>
    <w:rsid w:val="00A86AE7"/>
    <w:rsid w:val="00A91A6D"/>
    <w:rsid w:val="00A95140"/>
    <w:rsid w:val="00AA396A"/>
    <w:rsid w:val="00AB0405"/>
    <w:rsid w:val="00AC7F54"/>
    <w:rsid w:val="00AD383A"/>
    <w:rsid w:val="00AE0015"/>
    <w:rsid w:val="00AE1403"/>
    <w:rsid w:val="00AE18EC"/>
    <w:rsid w:val="00AF0F37"/>
    <w:rsid w:val="00AF195D"/>
    <w:rsid w:val="00AF4F76"/>
    <w:rsid w:val="00B14C18"/>
    <w:rsid w:val="00B22C72"/>
    <w:rsid w:val="00B25BB6"/>
    <w:rsid w:val="00B313EF"/>
    <w:rsid w:val="00B42593"/>
    <w:rsid w:val="00B43B2A"/>
    <w:rsid w:val="00B4681F"/>
    <w:rsid w:val="00B50675"/>
    <w:rsid w:val="00B62394"/>
    <w:rsid w:val="00B6296C"/>
    <w:rsid w:val="00B67C57"/>
    <w:rsid w:val="00B73019"/>
    <w:rsid w:val="00B90F10"/>
    <w:rsid w:val="00B92090"/>
    <w:rsid w:val="00B92227"/>
    <w:rsid w:val="00B93B06"/>
    <w:rsid w:val="00B949AD"/>
    <w:rsid w:val="00B95952"/>
    <w:rsid w:val="00B970BD"/>
    <w:rsid w:val="00BC03C7"/>
    <w:rsid w:val="00BD60DD"/>
    <w:rsid w:val="00BD61BE"/>
    <w:rsid w:val="00BD79D6"/>
    <w:rsid w:val="00BD7E76"/>
    <w:rsid w:val="00BE4B92"/>
    <w:rsid w:val="00C0456F"/>
    <w:rsid w:val="00C05BB2"/>
    <w:rsid w:val="00C11125"/>
    <w:rsid w:val="00C16898"/>
    <w:rsid w:val="00C21F5B"/>
    <w:rsid w:val="00C314A6"/>
    <w:rsid w:val="00C755B7"/>
    <w:rsid w:val="00C7695E"/>
    <w:rsid w:val="00C85D37"/>
    <w:rsid w:val="00C90B70"/>
    <w:rsid w:val="00CA4D68"/>
    <w:rsid w:val="00CC4F5C"/>
    <w:rsid w:val="00CD20C3"/>
    <w:rsid w:val="00CF0A60"/>
    <w:rsid w:val="00D00E1E"/>
    <w:rsid w:val="00D10CCE"/>
    <w:rsid w:val="00D11FA1"/>
    <w:rsid w:val="00D120B0"/>
    <w:rsid w:val="00D142B4"/>
    <w:rsid w:val="00D20273"/>
    <w:rsid w:val="00D22D3E"/>
    <w:rsid w:val="00D32F69"/>
    <w:rsid w:val="00D345CE"/>
    <w:rsid w:val="00D41BFA"/>
    <w:rsid w:val="00D45004"/>
    <w:rsid w:val="00D65E82"/>
    <w:rsid w:val="00D80673"/>
    <w:rsid w:val="00D84429"/>
    <w:rsid w:val="00D914A2"/>
    <w:rsid w:val="00D92E5D"/>
    <w:rsid w:val="00D9414E"/>
    <w:rsid w:val="00D9772E"/>
    <w:rsid w:val="00DB2BF8"/>
    <w:rsid w:val="00DB34D8"/>
    <w:rsid w:val="00DB39FC"/>
    <w:rsid w:val="00DB5D59"/>
    <w:rsid w:val="00DB6319"/>
    <w:rsid w:val="00DC220C"/>
    <w:rsid w:val="00DE27DB"/>
    <w:rsid w:val="00DF19EB"/>
    <w:rsid w:val="00E01CA0"/>
    <w:rsid w:val="00E05D7D"/>
    <w:rsid w:val="00E134BB"/>
    <w:rsid w:val="00E16263"/>
    <w:rsid w:val="00E30DE6"/>
    <w:rsid w:val="00E50A5F"/>
    <w:rsid w:val="00E60129"/>
    <w:rsid w:val="00E67D91"/>
    <w:rsid w:val="00E753C2"/>
    <w:rsid w:val="00E762A2"/>
    <w:rsid w:val="00E76832"/>
    <w:rsid w:val="00E800AA"/>
    <w:rsid w:val="00E975B7"/>
    <w:rsid w:val="00E97D81"/>
    <w:rsid w:val="00EA1CF8"/>
    <w:rsid w:val="00EA2B1F"/>
    <w:rsid w:val="00EB4BA5"/>
    <w:rsid w:val="00EB7F19"/>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5FEA"/>
    <w:rsid w:val="00F46226"/>
    <w:rsid w:val="00F56E6C"/>
    <w:rsid w:val="00F63E6C"/>
    <w:rsid w:val="00F7531A"/>
    <w:rsid w:val="00F81A83"/>
    <w:rsid w:val="00F85E3B"/>
    <w:rsid w:val="00F9382F"/>
    <w:rsid w:val="00F9443F"/>
    <w:rsid w:val="00F94E70"/>
    <w:rsid w:val="00F950EB"/>
    <w:rsid w:val="00FA09B0"/>
    <w:rsid w:val="00FB725C"/>
    <w:rsid w:val="00FC06A7"/>
    <w:rsid w:val="00FC4B11"/>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rsid w:val="00B14C18"/>
    <w:rPr>
      <w:rFonts w:cstheme="minorHAnsi"/>
      <w:sz w:val="14"/>
    </w:rPr>
  </w:style>
  <w:style w:type="paragraph" w:styleId="Footer">
    <w:name w:val="footer"/>
    <w:basedOn w:val="Normal"/>
    <w:link w:val="FooterChar"/>
    <w:uiPriority w:val="99"/>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ingscotland.org.uk/wp-content/uploads/2020/08/2020-GG-Conversation-Starter-Card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irlguidingscotland.org.uk/wp-content/uploads/2020/08/Recruitment-Warm-Welcome-templates-Girlguiding-Scotland.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irlguidingscotland.org.uk/for-volunteers/growing-our-membership/welcome-and-indu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ingscotland.org.uk/for-volunteers/growing-our-membership/recruitment-and-awareness-raising/" TargetMode="External"/><Relationship Id="rId5" Type="http://schemas.openxmlformats.org/officeDocument/2006/relationships/numbering" Target="numbering.xml"/><Relationship Id="rId15" Type="http://schemas.openxmlformats.org/officeDocument/2006/relationships/hyperlink" Target="https://www.girlguidingscotland.org.uk/wp-content/uploads/2020/08/Recruitment-Warm-Welcome-templates-Girlguiding-Scotland.doc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scotland.org.uk/wp-content/uploads/2020/08/Overcoming-common-barriers-to-volunteering-2020.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91B0F9F379FA458D8FFBA722FD11A9" ma:contentTypeVersion="12" ma:contentTypeDescription="Create a new document." ma:contentTypeScope="" ma:versionID="81b56c7b2bca9fe24d49d87519d7f2b3">
  <xsd:schema xmlns:xsd="http://www.w3.org/2001/XMLSchema" xmlns:xs="http://www.w3.org/2001/XMLSchema" xmlns:p="http://schemas.microsoft.com/office/2006/metadata/properties" xmlns:ns2="9efbbdf2-d088-467a-a852-8bd4ecd8264b" xmlns:ns3="362257c6-1f9d-4e6f-9f8f-41ec482b7cc2" targetNamespace="http://schemas.microsoft.com/office/2006/metadata/properties" ma:root="true" ma:fieldsID="ccf0a76735ffbd1bf59a758df5566814" ns2:_="" ns3:_="">
    <xsd:import namespace="9efbbdf2-d088-467a-a852-8bd4ecd8264b"/>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bbdf2-d088-467a-a852-8bd4ecd82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3e5bc-e6a7-4519-8504-2b907798aa00}"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lcf76f155ced4ddcb4097134ff3c332f xmlns="9efbbdf2-d088-467a-a852-8bd4ecd826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2.xml><?xml version="1.0" encoding="utf-8"?>
<ds:datastoreItem xmlns:ds="http://schemas.openxmlformats.org/officeDocument/2006/customXml" ds:itemID="{C5FB385D-EF1C-44AE-A2D5-434B5DDB7011}">
  <ds:schemaRefs>
    <ds:schemaRef ds:uri="http://schemas.openxmlformats.org/officeDocument/2006/bibliography"/>
  </ds:schemaRefs>
</ds:datastoreItem>
</file>

<file path=customXml/itemProps3.xml><?xml version="1.0" encoding="utf-8"?>
<ds:datastoreItem xmlns:ds="http://schemas.openxmlformats.org/officeDocument/2006/customXml" ds:itemID="{D8B1A04B-7795-49F7-ACC4-611C02AE5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bbdf2-d088-467a-a852-8bd4ecd8264b"/>
    <ds:schemaRef ds:uri="362257c6-1f9d-4e6f-9f8f-41ec482b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68840-BA09-46D1-962D-BBEFB522D1E6}">
  <ds:schemaRefs>
    <ds:schemaRef ds:uri="http://schemas.microsoft.com/office/2006/documentManagement/types"/>
    <ds:schemaRef ds:uri="http://www.w3.org/XML/1998/namespace"/>
    <ds:schemaRef ds:uri="9efbbdf2-d088-467a-a852-8bd4ecd8264b"/>
    <ds:schemaRef ds:uri="http://schemas.microsoft.com/office/2006/metadata/properties"/>
    <ds:schemaRef ds:uri="362257c6-1f9d-4e6f-9f8f-41ec482b7cc2"/>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128</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Emily Arrowsmith</cp:lastModifiedBy>
  <cp:revision>7</cp:revision>
  <dcterms:created xsi:type="dcterms:W3CDTF">2023-10-19T11:58:00Z</dcterms:created>
  <dcterms:modified xsi:type="dcterms:W3CDTF">2023-11-03T11:05:00Z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0x0101000C06D04016633546A00910237892646D</vt:lpwstr>
  </property>
  <property fmtid="{D5CDD505-2E9C-101B-9397-08002B2CF9AE}" pid="3" name="MediaServiceImageTags">
    <vt:lpwstr/>
  </property>
</Properties>
</file>